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83C42" w14:textId="77777777"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14:paraId="73383C45" w14:textId="77777777" w:rsidTr="005F7F7E">
        <w:tc>
          <w:tcPr>
            <w:tcW w:w="2438" w:type="dxa"/>
            <w:shd w:val="clear" w:color="auto" w:fill="auto"/>
          </w:tcPr>
          <w:p w14:paraId="73383C43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73383C44" w14:textId="64713082" w:rsidR="00F445B1" w:rsidRPr="00F95BC9" w:rsidRDefault="002A5D34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Scrutiny Committee</w:t>
            </w:r>
          </w:p>
        </w:tc>
      </w:tr>
      <w:tr w:rsidR="00CE544A" w:rsidRPr="00975B07" w14:paraId="73383C48" w14:textId="77777777" w:rsidTr="005F7F7E">
        <w:tc>
          <w:tcPr>
            <w:tcW w:w="2438" w:type="dxa"/>
            <w:shd w:val="clear" w:color="auto" w:fill="auto"/>
          </w:tcPr>
          <w:p w14:paraId="6E4D11B5" w14:textId="77777777" w:rsidR="00F445B1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  <w:p w14:paraId="73383C46" w14:textId="255D1E1C" w:rsidR="00C43855" w:rsidRPr="00975B07" w:rsidRDefault="00C43855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Report of:</w:t>
            </w:r>
          </w:p>
        </w:tc>
        <w:tc>
          <w:tcPr>
            <w:tcW w:w="6406" w:type="dxa"/>
            <w:shd w:val="clear" w:color="auto" w:fill="auto"/>
          </w:tcPr>
          <w:p w14:paraId="725370FC" w14:textId="40DB41C4" w:rsidR="00F445B1" w:rsidRDefault="00FD1890" w:rsidP="005D0621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05 July 2022</w:t>
            </w:r>
          </w:p>
          <w:p w14:paraId="73383C47" w14:textId="3676D332" w:rsidR="00C43855" w:rsidRPr="003E2F9D" w:rsidRDefault="00C43855" w:rsidP="005D0621">
            <w:pPr>
              <w:rPr>
                <w:b/>
              </w:rPr>
            </w:pPr>
            <w:r>
              <w:rPr>
                <w:rStyle w:val="Firstpagetablebold"/>
              </w:rPr>
              <w:t>Head of Law and Governance</w:t>
            </w:r>
          </w:p>
        </w:tc>
      </w:tr>
      <w:tr w:rsidR="00CE544A" w:rsidRPr="00975B07" w14:paraId="73383C4E" w14:textId="77777777" w:rsidTr="005F7F7E">
        <w:tc>
          <w:tcPr>
            <w:tcW w:w="2438" w:type="dxa"/>
            <w:shd w:val="clear" w:color="auto" w:fill="auto"/>
          </w:tcPr>
          <w:p w14:paraId="73383C4C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14:paraId="73383C4D" w14:textId="6D0B8E82" w:rsidR="00F445B1" w:rsidRPr="002A5D34" w:rsidRDefault="00FD1890" w:rsidP="00821969">
            <w:pPr>
              <w:rPr>
                <w:rStyle w:val="Firstpagetablebold"/>
                <w:b w:val="0"/>
              </w:rPr>
            </w:pPr>
            <w:r>
              <w:rPr>
                <w:b/>
                <w:szCs w:val="22"/>
              </w:rPr>
              <w:t xml:space="preserve">Scrutiny Committee </w:t>
            </w:r>
            <w:r w:rsidR="00222597">
              <w:rPr>
                <w:b/>
                <w:szCs w:val="22"/>
              </w:rPr>
              <w:t xml:space="preserve">Standing Panel and </w:t>
            </w:r>
            <w:r>
              <w:rPr>
                <w:b/>
                <w:szCs w:val="22"/>
              </w:rPr>
              <w:t>Review Group</w:t>
            </w:r>
            <w:r w:rsidR="00821969">
              <w:rPr>
                <w:b/>
                <w:szCs w:val="22"/>
              </w:rPr>
              <w:t xml:space="preserve"> Arrangements</w:t>
            </w:r>
            <w:r>
              <w:rPr>
                <w:b/>
                <w:szCs w:val="22"/>
              </w:rPr>
              <w:t xml:space="preserve"> 2022/23</w:t>
            </w:r>
          </w:p>
        </w:tc>
      </w:tr>
    </w:tbl>
    <w:p w14:paraId="73383C4F" w14:textId="77777777"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14:paraId="73383C51" w14:textId="77777777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14:paraId="73383C50" w14:textId="77777777"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14:paraId="73383C54" w14:textId="77777777" w:rsidTr="00D03CE4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73383C52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14:paraId="73383C53" w14:textId="6F66FE52" w:rsidR="00D5547E" w:rsidRPr="001356F1" w:rsidRDefault="009E0595" w:rsidP="00D03CE4">
            <w:r>
              <w:t xml:space="preserve">To </w:t>
            </w:r>
            <w:r w:rsidR="00FD1890">
              <w:t xml:space="preserve">agree </w:t>
            </w:r>
            <w:r w:rsidR="00222597">
              <w:t xml:space="preserve">standing panel and </w:t>
            </w:r>
            <w:r w:rsidR="00D03CE4">
              <w:t>review g</w:t>
            </w:r>
            <w:r w:rsidR="00FD1890">
              <w:t>roup arrangements for the 2022/23 municipal year</w:t>
            </w:r>
          </w:p>
        </w:tc>
      </w:tr>
      <w:tr w:rsidR="00D03CE4" w14:paraId="0CC55D73" w14:textId="77777777" w:rsidTr="00D03CE4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F895B1D" w14:textId="065FBBE9" w:rsidR="00D03CE4" w:rsidRDefault="00D03CE4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3793A7A" w14:textId="40750B26" w:rsidR="00D03CE4" w:rsidRDefault="00D03CE4" w:rsidP="00FD1890">
            <w:r>
              <w:t>No</w:t>
            </w:r>
          </w:p>
        </w:tc>
      </w:tr>
      <w:tr w:rsidR="00D03CE4" w14:paraId="389CC610" w14:textId="77777777" w:rsidTr="00D03CE4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9661EA8" w14:textId="4DE549B6" w:rsidR="00D03CE4" w:rsidRDefault="00D03CE4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Scrutiny Lead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DB30A3E" w14:textId="2C876C54" w:rsidR="00D03CE4" w:rsidRDefault="00D03CE4" w:rsidP="00FD1890">
            <w:r>
              <w:t>Councillor Dr Chris Smowton, Chair of the Scrutiny Committee</w:t>
            </w:r>
          </w:p>
        </w:tc>
      </w:tr>
      <w:tr w:rsidR="0080749A" w14:paraId="73383C5D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3383C5B" w14:textId="77777777"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3383C5C" w14:textId="14729F52" w:rsidR="0080749A" w:rsidRPr="001356F1" w:rsidRDefault="00FD1890" w:rsidP="005F7F7E">
            <w:r>
              <w:t>All</w:t>
            </w:r>
          </w:p>
        </w:tc>
      </w:tr>
      <w:tr w:rsidR="005F7F7E" w:rsidRPr="00975B07" w14:paraId="73383C62" w14:textId="77777777" w:rsidTr="00821969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14:paraId="73383C61" w14:textId="77777777" w:rsidR="005F7F7E" w:rsidRPr="00975B07" w:rsidRDefault="005F7F7E" w:rsidP="00821AAF">
            <w:r>
              <w:rPr>
                <w:rStyle w:val="Firstpagetablebold"/>
              </w:rPr>
              <w:t xml:space="preserve">Recommendation(s):That the </w:t>
            </w:r>
            <w:r w:rsidR="00821AAF">
              <w:rPr>
                <w:rStyle w:val="Firstpagetablebold"/>
              </w:rPr>
              <w:t>Committee</w:t>
            </w:r>
            <w:r>
              <w:rPr>
                <w:rStyle w:val="Firstpagetablebold"/>
              </w:rPr>
              <w:t xml:space="preserve"> resolves to:</w:t>
            </w:r>
          </w:p>
        </w:tc>
      </w:tr>
      <w:tr w:rsidR="0030208D" w:rsidRPr="00975B07" w14:paraId="73383C65" w14:textId="77777777" w:rsidTr="00821969">
        <w:trPr>
          <w:trHeight w:val="53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4220A3C8" w14:textId="77777777" w:rsidR="0030208D" w:rsidRDefault="00046D2B" w:rsidP="004A6D2F">
            <w:r w:rsidRPr="003D5E7F">
              <w:t>1.</w:t>
            </w:r>
          </w:p>
          <w:p w14:paraId="73383C63" w14:textId="17D9A49E" w:rsidR="009E0595" w:rsidRPr="003D5E7F" w:rsidRDefault="009E0595" w:rsidP="004A6D2F">
            <w:r>
              <w:t xml:space="preserve"> </w:t>
            </w:r>
          </w:p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3383C64" w14:textId="7762F6F9" w:rsidR="009E0595" w:rsidRPr="003D5E7F" w:rsidRDefault="009E0595" w:rsidP="00EF7EA1">
            <w:pPr>
              <w:spacing w:after="0"/>
            </w:pPr>
            <w:r w:rsidRPr="00821969">
              <w:rPr>
                <w:rStyle w:val="Firstpagetablebold"/>
              </w:rPr>
              <w:t>Agree</w:t>
            </w:r>
            <w:r>
              <w:rPr>
                <w:rStyle w:val="Firstpagetablebold"/>
                <w:b w:val="0"/>
              </w:rPr>
              <w:t xml:space="preserve"> </w:t>
            </w:r>
            <w:r w:rsidR="00FD1890">
              <w:rPr>
                <w:rStyle w:val="Firstpagetablebold"/>
                <w:b w:val="0"/>
              </w:rPr>
              <w:t>to establish a Climate &amp; Environment</w:t>
            </w:r>
            <w:r w:rsidR="00D03CE4">
              <w:rPr>
                <w:rStyle w:val="Firstpagetablebold"/>
                <w:b w:val="0"/>
              </w:rPr>
              <w:t xml:space="preserve"> </w:t>
            </w:r>
            <w:r w:rsidR="00222597">
              <w:rPr>
                <w:rStyle w:val="Firstpagetablebold"/>
                <w:b w:val="0"/>
              </w:rPr>
              <w:t>Panel</w:t>
            </w:r>
            <w:r w:rsidR="00D03CE4">
              <w:rPr>
                <w:rStyle w:val="Firstpagetablebold"/>
                <w:b w:val="0"/>
              </w:rPr>
              <w:t xml:space="preserve">, noting that the </w:t>
            </w:r>
            <w:r w:rsidR="00EF7EA1">
              <w:rPr>
                <w:rStyle w:val="Firstpagetablebold"/>
                <w:b w:val="0"/>
              </w:rPr>
              <w:t xml:space="preserve">remit, proposed business and meeting dates </w:t>
            </w:r>
            <w:r w:rsidR="00D03CE4">
              <w:rPr>
                <w:rStyle w:val="Firstpagetablebold"/>
                <w:b w:val="0"/>
              </w:rPr>
              <w:t>will be agreed at a future Scrutiny Committee meeting.</w:t>
            </w:r>
          </w:p>
        </w:tc>
      </w:tr>
      <w:tr w:rsidR="00D03CE4" w:rsidRPr="00975B07" w14:paraId="720DB54E" w14:textId="77777777" w:rsidTr="00EF7EA1">
        <w:trPr>
          <w:trHeight w:val="411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28FE79A" w14:textId="12F1736A" w:rsidR="00D03CE4" w:rsidRPr="003D5E7F" w:rsidRDefault="00D03CE4" w:rsidP="004A6D2F">
            <w:r>
              <w:t xml:space="preserve">2. </w:t>
            </w:r>
          </w:p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5B4BEEF" w14:textId="2AA99DBA" w:rsidR="00D03CE4" w:rsidRDefault="00D03CE4" w:rsidP="00EF7EA1">
            <w:pPr>
              <w:rPr>
                <w:rStyle w:val="Firstpagetablebold"/>
                <w:b w:val="0"/>
              </w:rPr>
            </w:pPr>
            <w:r w:rsidRPr="00821969">
              <w:rPr>
                <w:rStyle w:val="Firstpagetablebold"/>
              </w:rPr>
              <w:t>Agree</w:t>
            </w:r>
            <w:r>
              <w:rPr>
                <w:rStyle w:val="Firstpagetablebold"/>
                <w:b w:val="0"/>
              </w:rPr>
              <w:t xml:space="preserve"> a Chair (or lead member) for the Climate &amp; Environment </w:t>
            </w:r>
            <w:r w:rsidR="00222597">
              <w:rPr>
                <w:rStyle w:val="Firstpagetablebold"/>
                <w:b w:val="0"/>
              </w:rPr>
              <w:t>Panel.</w:t>
            </w:r>
          </w:p>
        </w:tc>
      </w:tr>
      <w:tr w:rsidR="00D03CE4" w:rsidRPr="00975B07" w14:paraId="6397A1DE" w14:textId="77777777" w:rsidTr="00821969">
        <w:trPr>
          <w:trHeight w:val="576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BF7191A" w14:textId="51BBCC58" w:rsidR="00D03CE4" w:rsidRPr="003D5E7F" w:rsidRDefault="00D03CE4" w:rsidP="004A6D2F">
            <w:r>
              <w:t xml:space="preserve">3. </w:t>
            </w:r>
          </w:p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18AC440" w14:textId="0FCA1717" w:rsidR="00D03CE4" w:rsidRDefault="00D03CE4" w:rsidP="00EF7EA1">
            <w:pPr>
              <w:rPr>
                <w:rStyle w:val="Firstpagetablebold"/>
                <w:b w:val="0"/>
              </w:rPr>
            </w:pPr>
            <w:r w:rsidRPr="00821969">
              <w:rPr>
                <w:rStyle w:val="Firstpagetablebold"/>
              </w:rPr>
              <w:t>Agree</w:t>
            </w:r>
            <w:r>
              <w:rPr>
                <w:rStyle w:val="Firstpagetablebold"/>
                <w:b w:val="0"/>
              </w:rPr>
              <w:t xml:space="preserve"> the membership level </w:t>
            </w:r>
            <w:r w:rsidR="00193098">
              <w:rPr>
                <w:rStyle w:val="Firstpagetablebold"/>
                <w:b w:val="0"/>
              </w:rPr>
              <w:t xml:space="preserve">(4) </w:t>
            </w:r>
            <w:r>
              <w:rPr>
                <w:rStyle w:val="Firstpagetablebold"/>
                <w:b w:val="0"/>
              </w:rPr>
              <w:t xml:space="preserve">of the Climate &amp; Environment </w:t>
            </w:r>
            <w:r w:rsidR="00222597">
              <w:rPr>
                <w:rStyle w:val="Firstpagetablebold"/>
                <w:b w:val="0"/>
              </w:rPr>
              <w:t>Panel</w:t>
            </w:r>
            <w:r>
              <w:rPr>
                <w:rStyle w:val="Firstpagetablebold"/>
                <w:b w:val="0"/>
              </w:rPr>
              <w:t xml:space="preserve"> and </w:t>
            </w:r>
            <w:r w:rsidR="00E27563">
              <w:rPr>
                <w:rStyle w:val="Firstpagetablebold"/>
              </w:rPr>
              <w:t>invite</w:t>
            </w:r>
            <w:r>
              <w:rPr>
                <w:rStyle w:val="Firstpagetablebold"/>
                <w:b w:val="0"/>
              </w:rPr>
              <w:t xml:space="preserve"> nominations for membership</w:t>
            </w:r>
            <w:r w:rsidR="00E27563">
              <w:rPr>
                <w:rStyle w:val="Firstpagetablebold"/>
                <w:b w:val="0"/>
              </w:rPr>
              <w:t xml:space="preserve"> from political groups</w:t>
            </w:r>
            <w:r w:rsidR="00EF7EA1">
              <w:rPr>
                <w:rStyle w:val="Firstpagetablebold"/>
                <w:b w:val="0"/>
              </w:rPr>
              <w:t>, to be agreed at a future Scrutiny Committee meeting</w:t>
            </w:r>
            <w:r w:rsidR="00E27563">
              <w:rPr>
                <w:rStyle w:val="Firstpagetablebold"/>
                <w:b w:val="0"/>
              </w:rPr>
              <w:t>.</w:t>
            </w:r>
          </w:p>
        </w:tc>
      </w:tr>
      <w:tr w:rsidR="00D03CE4" w:rsidRPr="00975B07" w14:paraId="7997864A" w14:textId="77777777" w:rsidTr="00821969">
        <w:trPr>
          <w:trHeight w:val="576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F573A0D" w14:textId="4F4E26DD" w:rsidR="00D03CE4" w:rsidRDefault="00D03CE4" w:rsidP="004A6D2F">
            <w:r>
              <w:t>4.</w:t>
            </w:r>
          </w:p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05AE1DC" w14:textId="6D94ED51" w:rsidR="00D03CE4" w:rsidRDefault="00D03CE4" w:rsidP="002069B3">
            <w:pPr>
              <w:rPr>
                <w:rStyle w:val="Firstpagetablebold"/>
                <w:b w:val="0"/>
              </w:rPr>
            </w:pPr>
            <w:r w:rsidRPr="00821969">
              <w:rPr>
                <w:rStyle w:val="Firstpagetablebold"/>
              </w:rPr>
              <w:t>Agree</w:t>
            </w:r>
            <w:r>
              <w:rPr>
                <w:rStyle w:val="Firstpagetablebold"/>
                <w:b w:val="0"/>
              </w:rPr>
              <w:t xml:space="preserve"> to establish a Budget Review Group,</w:t>
            </w:r>
            <w:r w:rsidR="00E27563">
              <w:rPr>
                <w:rStyle w:val="Firstpagetablebold"/>
                <w:b w:val="0"/>
              </w:rPr>
              <w:t xml:space="preserve"> comprising the membership of the Finance &amp; Performance Panel,</w:t>
            </w:r>
            <w:r>
              <w:rPr>
                <w:rStyle w:val="Firstpagetablebold"/>
                <w:b w:val="0"/>
              </w:rPr>
              <w:t xml:space="preserve"> noting that the propo</w:t>
            </w:r>
            <w:r w:rsidR="00A82696">
              <w:rPr>
                <w:rStyle w:val="Firstpagetablebold"/>
                <w:b w:val="0"/>
              </w:rPr>
              <w:t>sed scope will be agreed at a</w:t>
            </w:r>
            <w:r>
              <w:rPr>
                <w:rStyle w:val="Firstpagetablebold"/>
                <w:b w:val="0"/>
              </w:rPr>
              <w:t xml:space="preserve"> future Scrutiny Committee meeting.</w:t>
            </w:r>
          </w:p>
        </w:tc>
      </w:tr>
      <w:tr w:rsidR="00D03CE4" w:rsidRPr="00975B07" w14:paraId="7D6B688F" w14:textId="77777777" w:rsidTr="00821969">
        <w:trPr>
          <w:trHeight w:val="576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8C200C2" w14:textId="0435BB1D" w:rsidR="00D03CE4" w:rsidRDefault="00D03CE4" w:rsidP="004A6D2F">
            <w:r>
              <w:t>5.</w:t>
            </w:r>
          </w:p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5A3F144" w14:textId="2EB13919" w:rsidR="00D03CE4" w:rsidRDefault="00D03CE4" w:rsidP="00A82696">
            <w:pPr>
              <w:rPr>
                <w:rStyle w:val="Firstpagetablebold"/>
                <w:b w:val="0"/>
              </w:rPr>
            </w:pPr>
            <w:r w:rsidRPr="00821969">
              <w:rPr>
                <w:rStyle w:val="Firstpagetablebold"/>
              </w:rPr>
              <w:t>Agree</w:t>
            </w:r>
            <w:r>
              <w:rPr>
                <w:rStyle w:val="Firstpagetablebold"/>
                <w:b w:val="0"/>
              </w:rPr>
              <w:t xml:space="preserve"> </w:t>
            </w:r>
            <w:r w:rsidR="00E27563">
              <w:rPr>
                <w:rStyle w:val="Firstpagetablebold"/>
                <w:b w:val="0"/>
              </w:rPr>
              <w:t xml:space="preserve">that the Chair of the Finance &amp; Performance Panel </w:t>
            </w:r>
            <w:r w:rsidR="00A82696">
              <w:rPr>
                <w:rStyle w:val="Firstpagetablebold"/>
                <w:b w:val="0"/>
              </w:rPr>
              <w:t>will</w:t>
            </w:r>
            <w:r w:rsidR="00E27563">
              <w:rPr>
                <w:rStyle w:val="Firstpagetablebold"/>
                <w:b w:val="0"/>
              </w:rPr>
              <w:t xml:space="preserve"> Chair</w:t>
            </w:r>
            <w:r>
              <w:rPr>
                <w:rStyle w:val="Firstpagetablebold"/>
                <w:b w:val="0"/>
              </w:rPr>
              <w:t xml:space="preserve"> the Budget Review Group.</w:t>
            </w:r>
          </w:p>
        </w:tc>
      </w:tr>
      <w:tr w:rsidR="00D03CE4" w:rsidRPr="00975B07" w14:paraId="64940C21" w14:textId="77777777" w:rsidTr="00821969">
        <w:trPr>
          <w:trHeight w:val="576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</w:tcPr>
          <w:p w14:paraId="5F5DFA0C" w14:textId="4B6A917D" w:rsidR="00D03CE4" w:rsidRDefault="00E27563" w:rsidP="004A6D2F">
            <w:r>
              <w:t>6</w:t>
            </w:r>
            <w:r w:rsidR="00D03CE4">
              <w:t>.</w:t>
            </w:r>
          </w:p>
        </w:tc>
        <w:tc>
          <w:tcPr>
            <w:tcW w:w="8419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334E7966" w14:textId="611A4443" w:rsidR="00D03CE4" w:rsidRDefault="00EC7B30" w:rsidP="00EC7B30">
            <w:pPr>
              <w:rPr>
                <w:rStyle w:val="Firstpagetablebold"/>
                <w:b w:val="0"/>
              </w:rPr>
            </w:pPr>
            <w:r w:rsidRPr="00821969">
              <w:rPr>
                <w:rStyle w:val="Firstpagetablebold"/>
              </w:rPr>
              <w:t xml:space="preserve">Suggest </w:t>
            </w:r>
            <w:r>
              <w:rPr>
                <w:rStyle w:val="Firstpagetablebold"/>
                <w:b w:val="0"/>
              </w:rPr>
              <w:t>topics for</w:t>
            </w:r>
            <w:r w:rsidR="00193098">
              <w:rPr>
                <w:rStyle w:val="Firstpagetablebold"/>
                <w:b w:val="0"/>
              </w:rPr>
              <w:t xml:space="preserve"> an additional review group focused on a priority topic of the Committee’s choosing.</w:t>
            </w:r>
          </w:p>
        </w:tc>
      </w:tr>
    </w:tbl>
    <w:p w14:paraId="73383C72" w14:textId="784C70ED" w:rsidR="00CE544A" w:rsidRPr="009E51FC" w:rsidRDefault="00CE544A" w:rsidP="004A6D2F"/>
    <w:p w14:paraId="73383C81" w14:textId="06DD62E4" w:rsidR="0040736F" w:rsidRPr="001356F1" w:rsidRDefault="000D568C" w:rsidP="004A6D2F">
      <w:pPr>
        <w:pStyle w:val="Heading1"/>
      </w:pPr>
      <w:r>
        <w:t>Introduction and Background</w:t>
      </w:r>
    </w:p>
    <w:p w14:paraId="63A0913F" w14:textId="13CF7392" w:rsidR="00193098" w:rsidRDefault="00193098" w:rsidP="00BC4FED">
      <w:pPr>
        <w:pStyle w:val="ListParagraph"/>
        <w:jc w:val="both"/>
      </w:pPr>
      <w:r>
        <w:t>At its meeting on 08 June 2022, the Scrutiny Committee agreed its Operating Principles for the 2022/23 municipal year. The Operating Principles state that, in any given year, the organisation ordinarily has capacity to support either:</w:t>
      </w:r>
    </w:p>
    <w:p w14:paraId="18917298" w14:textId="7CF3E2AA" w:rsidR="00193098" w:rsidRDefault="00193098" w:rsidP="00193098">
      <w:pPr>
        <w:pStyle w:val="ListParagraph"/>
        <w:numPr>
          <w:ilvl w:val="1"/>
          <w:numId w:val="14"/>
        </w:numPr>
        <w:jc w:val="both"/>
      </w:pPr>
      <w:r>
        <w:t>2 Standing Panels and 3 Review Groups; or</w:t>
      </w:r>
    </w:p>
    <w:p w14:paraId="1C301DCC" w14:textId="4E5A0FE8" w:rsidR="00193098" w:rsidRDefault="00193098" w:rsidP="00193098">
      <w:pPr>
        <w:pStyle w:val="ListParagraph"/>
        <w:numPr>
          <w:ilvl w:val="1"/>
          <w:numId w:val="14"/>
        </w:numPr>
        <w:jc w:val="both"/>
      </w:pPr>
      <w:r>
        <w:lastRenderedPageBreak/>
        <w:t>3 Standing Panels and 2 Review Groups</w:t>
      </w:r>
    </w:p>
    <w:p w14:paraId="16D57DEF" w14:textId="71D89FA1" w:rsidR="005C5DD1" w:rsidRDefault="005C5DD1" w:rsidP="005C5DD1">
      <w:pPr>
        <w:pStyle w:val="ListParagraph"/>
        <w:ind w:left="360" w:hanging="360"/>
        <w:jc w:val="both"/>
      </w:pPr>
      <w:r>
        <w:t xml:space="preserve">As set out in the </w:t>
      </w:r>
      <w:r w:rsidR="000F4910">
        <w:t xml:space="preserve">Scrutiny </w:t>
      </w:r>
      <w:bookmarkStart w:id="0" w:name="_GoBack"/>
      <w:bookmarkEnd w:id="0"/>
      <w:r>
        <w:t>Operating Principles, standing panels hold meetings throughout the year and consider quarterly performance reports, Executive decisions and other issues within their remit. Review groups are formed to undertake issue-led and time-bound ‘task and finish’ reviews of specific issues, before concluding their work with a report and recommendations, usually to Cabinet. Standing panels and review groups are governed by the Operating Principles and are not held as committee or sub-committee meetings under the provisions of the Local Government Act 1972</w:t>
      </w:r>
      <w:r w:rsidR="000F4910">
        <w:t>.</w:t>
      </w:r>
    </w:p>
    <w:p w14:paraId="5FB68A54" w14:textId="77777777" w:rsidR="006272C8" w:rsidRDefault="00193098" w:rsidP="00193098">
      <w:pPr>
        <w:pStyle w:val="ListParagraph"/>
        <w:ind w:left="360" w:hanging="360"/>
        <w:jc w:val="both"/>
      </w:pPr>
      <w:r>
        <w:t>The Scrutiny Committee agreed to establish two Standing Panels for the 2022/23 municipal year</w:t>
      </w:r>
      <w:r w:rsidR="006272C8">
        <w:t>:</w:t>
      </w:r>
    </w:p>
    <w:p w14:paraId="1B822766" w14:textId="77777777" w:rsidR="006272C8" w:rsidRDefault="00193098" w:rsidP="006272C8">
      <w:pPr>
        <w:pStyle w:val="ListParagraph"/>
        <w:numPr>
          <w:ilvl w:val="1"/>
          <w:numId w:val="14"/>
        </w:numPr>
        <w:spacing w:after="0"/>
        <w:jc w:val="both"/>
      </w:pPr>
      <w:r>
        <w:t xml:space="preserve">Housing &amp; Homelessness Panel </w:t>
      </w:r>
    </w:p>
    <w:p w14:paraId="208D84F2" w14:textId="637717B5" w:rsidR="002F50AA" w:rsidRDefault="00193098" w:rsidP="006272C8">
      <w:pPr>
        <w:pStyle w:val="ListParagraph"/>
        <w:numPr>
          <w:ilvl w:val="1"/>
          <w:numId w:val="14"/>
        </w:numPr>
        <w:spacing w:after="0"/>
        <w:jc w:val="both"/>
      </w:pPr>
      <w:r>
        <w:t>Finance &amp; Performa</w:t>
      </w:r>
      <w:r w:rsidR="006272C8">
        <w:t>nce Panel</w:t>
      </w:r>
      <w:r>
        <w:t xml:space="preserve"> </w:t>
      </w:r>
    </w:p>
    <w:p w14:paraId="687CD4EC" w14:textId="77777777" w:rsidR="00AD3A5D" w:rsidRDefault="00AD3A5D" w:rsidP="00AD3A5D">
      <w:pPr>
        <w:pStyle w:val="ListParagraph"/>
        <w:numPr>
          <w:ilvl w:val="0"/>
          <w:numId w:val="0"/>
        </w:numPr>
        <w:ind w:left="360"/>
        <w:jc w:val="both"/>
      </w:pPr>
    </w:p>
    <w:p w14:paraId="40859E02" w14:textId="50D056E9" w:rsidR="000A650A" w:rsidRPr="000A650A" w:rsidRDefault="000A650A" w:rsidP="000A650A">
      <w:pPr>
        <w:jc w:val="both"/>
        <w:rPr>
          <w:b/>
        </w:rPr>
      </w:pPr>
      <w:r>
        <w:rPr>
          <w:b/>
        </w:rPr>
        <w:t>Companies Scrutiny Panel Arrangements</w:t>
      </w:r>
    </w:p>
    <w:p w14:paraId="44BF1184" w14:textId="731FEFA2" w:rsidR="002F50AA" w:rsidRDefault="00193098" w:rsidP="00193098">
      <w:pPr>
        <w:pStyle w:val="ListParagraph"/>
        <w:ind w:left="360" w:hanging="360"/>
        <w:jc w:val="both"/>
      </w:pPr>
      <w:r>
        <w:t>Due to recommended changes in the way that Companies Scrutiny Panel operates, namely that</w:t>
      </w:r>
      <w:r w:rsidR="00D61EBC">
        <w:t xml:space="preserve"> Companies Scrutiny Panel will join</w:t>
      </w:r>
      <w:r>
        <w:t xml:space="preserve"> Shareholder and Joint Venture Group</w:t>
      </w:r>
      <w:r w:rsidR="002F50AA">
        <w:t xml:space="preserve"> (SJVG)</w:t>
      </w:r>
      <w:r>
        <w:t xml:space="preserve"> </w:t>
      </w:r>
      <w:r w:rsidR="00D61EBC">
        <w:t>meetings as non-voting members</w:t>
      </w:r>
      <w:r w:rsidR="002F50AA">
        <w:t xml:space="preserve"> to enable more effective and efficient scrutiny of the shareholder function, there is capacity within the Scrutiny function for other things. There are a total of six simultaneous meetings of the SJVG and Companies Scrutiny Panel scheduled</w:t>
      </w:r>
      <w:r w:rsidR="00AD3A5D">
        <w:t xml:space="preserve"> which will not be clerked by the Scrutiny Officer</w:t>
      </w:r>
      <w:r w:rsidR="002F50AA">
        <w:t>, therefore there is additional capacity</w:t>
      </w:r>
      <w:r w:rsidR="00AD3A5D">
        <w:t xml:space="preserve"> within the Scrutiny function</w:t>
      </w:r>
      <w:r w:rsidR="002F50AA">
        <w:t xml:space="preserve"> for six meetings throughout the year. </w:t>
      </w:r>
    </w:p>
    <w:p w14:paraId="30307736" w14:textId="4D7A8C68" w:rsidR="00193098" w:rsidRDefault="002F50AA" w:rsidP="00193098">
      <w:pPr>
        <w:pStyle w:val="ListParagraph"/>
        <w:ind w:left="360" w:hanging="360"/>
        <w:jc w:val="both"/>
      </w:pPr>
      <w:r>
        <w:t>On 08 June 2022, the Scrutiny Committee agreed that one of these six meetings be given over for the purpose of Scrutiny-commissioned reports relating to Council companies; therefore capacity for five meetings remains. It is anticipated that the Scrutiny Committee will have capacity for an additional review group focused on a priority topic of the Committee’s choosing.</w:t>
      </w:r>
    </w:p>
    <w:p w14:paraId="46DA1938" w14:textId="186267E2" w:rsidR="006272C8" w:rsidRDefault="006272C8" w:rsidP="006272C8">
      <w:pPr>
        <w:pStyle w:val="ListParagraph"/>
        <w:ind w:left="360" w:hanging="360"/>
        <w:jc w:val="both"/>
      </w:pPr>
      <w:r>
        <w:t xml:space="preserve">It is recommended that members of the Committee suggest review group topics for consideration. The work of this additional review group would likely commence in the New Year. </w:t>
      </w:r>
    </w:p>
    <w:p w14:paraId="18015AD2" w14:textId="77777777" w:rsidR="00AD3A5D" w:rsidRDefault="00AD3A5D" w:rsidP="00AD3A5D">
      <w:pPr>
        <w:pStyle w:val="ListParagraph"/>
        <w:numPr>
          <w:ilvl w:val="0"/>
          <w:numId w:val="0"/>
        </w:numPr>
        <w:ind w:left="360"/>
        <w:jc w:val="both"/>
      </w:pPr>
    </w:p>
    <w:p w14:paraId="69E6B31A" w14:textId="77777777" w:rsidR="00AD3A5D" w:rsidRDefault="00AD3A5D" w:rsidP="00AD3A5D">
      <w:pPr>
        <w:jc w:val="both"/>
        <w:rPr>
          <w:b/>
        </w:rPr>
      </w:pPr>
      <w:r>
        <w:rPr>
          <w:b/>
        </w:rPr>
        <w:t>Budget Review Group</w:t>
      </w:r>
    </w:p>
    <w:p w14:paraId="5271D6BB" w14:textId="77777777" w:rsidR="00AD3A5D" w:rsidRDefault="00AD3A5D" w:rsidP="00AD3A5D">
      <w:pPr>
        <w:pStyle w:val="ListParagraph"/>
        <w:ind w:left="360" w:hanging="360"/>
        <w:jc w:val="both"/>
      </w:pPr>
      <w:r>
        <w:t xml:space="preserve">Each year, the Scrutiny Committee ordinarily establishes a Budget Review Group to examine the Council’s budget proposals for the next financial year, which helps ensure good financial governance practices. </w:t>
      </w:r>
    </w:p>
    <w:p w14:paraId="7447A3D7" w14:textId="51A55511" w:rsidR="00AD3A5D" w:rsidRDefault="00AD3A5D" w:rsidP="00AD3A5D">
      <w:pPr>
        <w:pStyle w:val="ListParagraph"/>
        <w:ind w:left="360" w:hanging="360"/>
        <w:jc w:val="both"/>
      </w:pPr>
      <w:r>
        <w:t>It is recommended that the Committee agrees to establish a Budget Review Group for the 2022/23 municipal year to examine the Council’</w:t>
      </w:r>
      <w:r w:rsidR="00F97015">
        <w:t xml:space="preserve">s budget proposals for 2023/24 and </w:t>
      </w:r>
      <w:r>
        <w:t>that the proposed scope be presented at a future Scrutiny Committee meeting for agreement.</w:t>
      </w:r>
    </w:p>
    <w:p w14:paraId="116748C7" w14:textId="2C0ABD3B" w:rsidR="00AD3A5D" w:rsidRDefault="00D61EBC" w:rsidP="00AD3A5D">
      <w:pPr>
        <w:pStyle w:val="ListParagraph"/>
        <w:ind w:left="360" w:hanging="360"/>
        <w:jc w:val="both"/>
      </w:pPr>
      <w:r>
        <w:t>Given the Finance &amp; Performance Panel’s involvement in scrutinising the Council’s finances, it is recommended that the membership of the Budget Review Group should comprise the membership of the Finance &amp; Performance Panel; including that the Chair of the Finance &amp; Performance Panel should Chair the Budget Review Group:</w:t>
      </w:r>
    </w:p>
    <w:p w14:paraId="3BDE79FE" w14:textId="6202FE7F" w:rsidR="00D61EBC" w:rsidRPr="00A82696" w:rsidRDefault="00D61EBC" w:rsidP="00A82696">
      <w:pPr>
        <w:pStyle w:val="ListParagraph"/>
        <w:numPr>
          <w:ilvl w:val="1"/>
          <w:numId w:val="41"/>
        </w:numPr>
        <w:jc w:val="both"/>
        <w:rPr>
          <w:i/>
        </w:rPr>
      </w:pPr>
      <w:r w:rsidRPr="00A82696">
        <w:rPr>
          <w:i/>
        </w:rPr>
        <w:t>Cllr James Fry (Chair)</w:t>
      </w:r>
      <w:r w:rsidR="00A82696" w:rsidRPr="00A82696">
        <w:rPr>
          <w:i/>
        </w:rPr>
        <w:t xml:space="preserve">; </w:t>
      </w:r>
      <w:r w:rsidRPr="00A82696">
        <w:rPr>
          <w:i/>
        </w:rPr>
        <w:t>Cllr Chris Jarvis</w:t>
      </w:r>
      <w:r w:rsidR="00A82696" w:rsidRPr="00A82696">
        <w:rPr>
          <w:i/>
        </w:rPr>
        <w:t xml:space="preserve">; </w:t>
      </w:r>
      <w:r w:rsidRPr="00A82696">
        <w:rPr>
          <w:i/>
        </w:rPr>
        <w:t xml:space="preserve">Cllr Tom </w:t>
      </w:r>
      <w:proofErr w:type="spellStart"/>
      <w:r w:rsidRPr="00A82696">
        <w:rPr>
          <w:i/>
        </w:rPr>
        <w:t>Landell</w:t>
      </w:r>
      <w:proofErr w:type="spellEnd"/>
      <w:r w:rsidRPr="00A82696">
        <w:rPr>
          <w:i/>
        </w:rPr>
        <w:t xml:space="preserve"> Mills</w:t>
      </w:r>
      <w:r w:rsidR="00A82696" w:rsidRPr="00A82696">
        <w:rPr>
          <w:i/>
        </w:rPr>
        <w:t xml:space="preserve">; </w:t>
      </w:r>
      <w:r w:rsidRPr="00A82696">
        <w:rPr>
          <w:i/>
        </w:rPr>
        <w:t xml:space="preserve">Cllr Amar </w:t>
      </w:r>
      <w:proofErr w:type="spellStart"/>
      <w:r w:rsidRPr="00A82696">
        <w:rPr>
          <w:i/>
        </w:rPr>
        <w:t>Latif</w:t>
      </w:r>
      <w:proofErr w:type="spellEnd"/>
      <w:r w:rsidRPr="00A82696">
        <w:rPr>
          <w:i/>
        </w:rPr>
        <w:t xml:space="preserve"> </w:t>
      </w:r>
    </w:p>
    <w:p w14:paraId="0705F226" w14:textId="77777777" w:rsidR="00AD3A5D" w:rsidRDefault="00AD3A5D" w:rsidP="00AD3A5D">
      <w:pPr>
        <w:pStyle w:val="ListParagraph"/>
        <w:numPr>
          <w:ilvl w:val="0"/>
          <w:numId w:val="0"/>
        </w:numPr>
        <w:ind w:left="360"/>
        <w:jc w:val="both"/>
      </w:pPr>
    </w:p>
    <w:p w14:paraId="5DAF05A9" w14:textId="0B3C33C5" w:rsidR="00AD3A5D" w:rsidRPr="00AD3A5D" w:rsidRDefault="00222597" w:rsidP="00AD3A5D">
      <w:pPr>
        <w:jc w:val="both"/>
        <w:rPr>
          <w:b/>
        </w:rPr>
      </w:pPr>
      <w:r>
        <w:rPr>
          <w:b/>
        </w:rPr>
        <w:t>Standing Panel</w:t>
      </w:r>
      <w:r w:rsidR="00EC7B30">
        <w:rPr>
          <w:b/>
        </w:rPr>
        <w:t xml:space="preserve"> Proposal: Climate &amp; Environment </w:t>
      </w:r>
    </w:p>
    <w:p w14:paraId="73383C82" w14:textId="3EADCCC2" w:rsidR="00E87F7A" w:rsidRDefault="00AD3A5D" w:rsidP="00AD3A5D">
      <w:pPr>
        <w:pStyle w:val="ListParagraph"/>
        <w:jc w:val="both"/>
      </w:pPr>
      <w:r>
        <w:t xml:space="preserve">At its meeting on 08 June 2022, it was suggested that a Climate &amp; Environment </w:t>
      </w:r>
      <w:r w:rsidR="00222597">
        <w:t>Panel</w:t>
      </w:r>
      <w:r>
        <w:t xml:space="preserve"> be established.</w:t>
      </w:r>
      <w:r w:rsidR="000D568C">
        <w:t xml:space="preserve"> </w:t>
      </w:r>
      <w:r>
        <w:t xml:space="preserve">It is recommended that the Committee agrees to establish a Climate &amp; Environment </w:t>
      </w:r>
      <w:r w:rsidR="00222597">
        <w:t>Panel</w:t>
      </w:r>
      <w:r w:rsidR="00F97015">
        <w:t xml:space="preserve"> and that</w:t>
      </w:r>
      <w:r>
        <w:t xml:space="preserve"> the</w:t>
      </w:r>
      <w:r w:rsidR="00222597">
        <w:t xml:space="preserve"> remit, proposed business and meeting dates</w:t>
      </w:r>
      <w:r>
        <w:t xml:space="preserve"> be presented at a future Scrutiny Committee meeting for agreement.</w:t>
      </w:r>
    </w:p>
    <w:p w14:paraId="385AC937" w14:textId="7840876B" w:rsidR="005C0066" w:rsidRDefault="00AD3A5D" w:rsidP="006272C8">
      <w:pPr>
        <w:pStyle w:val="ListParagraph"/>
        <w:jc w:val="both"/>
      </w:pPr>
      <w:r>
        <w:t xml:space="preserve">If the Committee is minded to establish a Climate &amp; Environment </w:t>
      </w:r>
      <w:r w:rsidR="00222597">
        <w:t>Panel</w:t>
      </w:r>
      <w:r>
        <w:t>, it will be required to agree a Chair (lead member)</w:t>
      </w:r>
      <w:r w:rsidR="00EF7EA1">
        <w:t>. The Committee would</w:t>
      </w:r>
      <w:r w:rsidR="000A0155">
        <w:t xml:space="preserve"> also</w:t>
      </w:r>
      <w:r w:rsidR="00EF7EA1">
        <w:t xml:space="preserve"> be required to invite</w:t>
      </w:r>
      <w:r>
        <w:t xml:space="preserve"> nominations for membership</w:t>
      </w:r>
      <w:r w:rsidR="00222597">
        <w:t xml:space="preserve"> from political groups, to be agreed at a future Scrutiny Committee meeting</w:t>
      </w:r>
      <w:r>
        <w:t>. It is recommended that a membership level of four is agreed.</w:t>
      </w:r>
    </w:p>
    <w:p w14:paraId="036E8C3F" w14:textId="77777777" w:rsidR="006272C8" w:rsidRDefault="006272C8" w:rsidP="000A0155">
      <w:pPr>
        <w:pStyle w:val="ListParagraph"/>
        <w:numPr>
          <w:ilvl w:val="0"/>
          <w:numId w:val="0"/>
        </w:numPr>
        <w:spacing w:after="0"/>
        <w:ind w:left="426"/>
        <w:jc w:val="both"/>
      </w:pPr>
    </w:p>
    <w:p w14:paraId="30B0187A" w14:textId="4DC58050" w:rsidR="005C0066" w:rsidRDefault="005C0066" w:rsidP="005C0066">
      <w:pPr>
        <w:pStyle w:val="Heading1"/>
      </w:pPr>
      <w:r>
        <w:t>Agreeing the Draft Scope</w:t>
      </w:r>
      <w:r w:rsidR="000A0155">
        <w:t>/Remit</w:t>
      </w:r>
    </w:p>
    <w:p w14:paraId="6EA7D9C8" w14:textId="38E7C110" w:rsidR="005C0066" w:rsidRDefault="005C0066" w:rsidP="005C0066">
      <w:pPr>
        <w:pStyle w:val="ListParagraph"/>
        <w:jc w:val="both"/>
      </w:pPr>
      <w:r>
        <w:t>It i</w:t>
      </w:r>
      <w:r w:rsidR="000A0155">
        <w:t>s proposed that the draft scope/remit</w:t>
      </w:r>
      <w:r>
        <w:t xml:space="preserve"> </w:t>
      </w:r>
      <w:r w:rsidR="000A0155">
        <w:t>of review groups and standing panels</w:t>
      </w:r>
      <w:r>
        <w:t xml:space="preserve"> will be presented at a future Scrutiny Committee meeting for agreement.</w:t>
      </w:r>
    </w:p>
    <w:p w14:paraId="50EE73EC" w14:textId="77777777" w:rsidR="005C0066" w:rsidRDefault="005C0066" w:rsidP="005C0066">
      <w:pPr>
        <w:jc w:val="both"/>
      </w:pPr>
    </w:p>
    <w:p w14:paraId="42ECF94B" w14:textId="3E589C69" w:rsidR="00E10C81" w:rsidRPr="00E10C81" w:rsidRDefault="00AB7B9F" w:rsidP="00E10C81">
      <w:pPr>
        <w:pStyle w:val="bParagraphtext"/>
        <w:numPr>
          <w:ilvl w:val="0"/>
          <w:numId w:val="0"/>
        </w:numPr>
        <w:rPr>
          <w:b/>
        </w:rPr>
      </w:pPr>
      <w:r>
        <w:rPr>
          <w:b/>
        </w:rPr>
        <w:t>Appointment of Members and Chair</w:t>
      </w:r>
    </w:p>
    <w:p w14:paraId="7CF8DEBA" w14:textId="2DE6528A" w:rsidR="005F2953" w:rsidRPr="005C0066" w:rsidRDefault="006A407D" w:rsidP="005C0066">
      <w:pPr>
        <w:pStyle w:val="ListParagraph"/>
        <w:jc w:val="both"/>
      </w:pPr>
      <w:r>
        <w:t xml:space="preserve">The </w:t>
      </w:r>
      <w:r w:rsidR="005C0066">
        <w:t xml:space="preserve">rules around membership of </w:t>
      </w:r>
      <w:r w:rsidR="000A0155">
        <w:t xml:space="preserve">standing panels and </w:t>
      </w:r>
      <w:r w:rsidR="005C0066">
        <w:t>review g</w:t>
      </w:r>
      <w:r>
        <w:t>roups are governed by the Scrutiny Operating Principles agreed by the Committee at the start of the</w:t>
      </w:r>
      <w:r w:rsidR="004F49C8">
        <w:t xml:space="preserve"> </w:t>
      </w:r>
      <w:r w:rsidR="006272C8">
        <w:t>municipal</w:t>
      </w:r>
      <w:r>
        <w:t xml:space="preserve"> year</w:t>
      </w:r>
      <w:r w:rsidR="005C0066">
        <w:t>.</w:t>
      </w:r>
    </w:p>
    <w:p w14:paraId="17935E22" w14:textId="5A4150F7" w:rsidR="006272C8" w:rsidRDefault="000A0155" w:rsidP="006272C8">
      <w:pPr>
        <w:pStyle w:val="ListParagraph"/>
        <w:jc w:val="both"/>
      </w:pPr>
      <w:r>
        <w:t>Standing panels and r</w:t>
      </w:r>
      <w:r w:rsidR="006272C8">
        <w:t>eview groups will use the following cross-party guide for the appointment of members:</w:t>
      </w:r>
    </w:p>
    <w:p w14:paraId="0B8F0516" w14:textId="77777777" w:rsidR="006272C8" w:rsidRDefault="006272C8" w:rsidP="006272C8">
      <w:pPr>
        <w:ind w:left="426"/>
        <w:jc w:val="both"/>
      </w:pPr>
      <w:r>
        <w:t>4 members: 2 Labour, 1 Lib Dem, 1 Green</w:t>
      </w:r>
    </w:p>
    <w:p w14:paraId="08C2E274" w14:textId="77777777" w:rsidR="006272C8" w:rsidRPr="005C0066" w:rsidRDefault="006272C8" w:rsidP="006272C8">
      <w:pPr>
        <w:ind w:left="426"/>
        <w:jc w:val="both"/>
        <w:rPr>
          <w:b/>
        </w:rPr>
      </w:pPr>
      <w:r>
        <w:t>6 members: 3 Labour, 2 Lib Dem, 1 Green</w:t>
      </w:r>
    </w:p>
    <w:p w14:paraId="68E46D5A" w14:textId="16CBEB06" w:rsidR="008271BD" w:rsidRDefault="006272C8" w:rsidP="00086491">
      <w:pPr>
        <w:pStyle w:val="ListParagraph"/>
        <w:jc w:val="both"/>
      </w:pPr>
      <w:r>
        <w:t xml:space="preserve">Members of </w:t>
      </w:r>
      <w:r w:rsidR="000A0155">
        <w:t xml:space="preserve">standing panels and </w:t>
      </w:r>
      <w:r>
        <w:t>review g</w:t>
      </w:r>
      <w:r w:rsidR="001750A4">
        <w:t>roups may be any non-executive member; they are not required to be members of the Sc</w:t>
      </w:r>
      <w:r>
        <w:t>rutiny Committee or any of its p</w:t>
      </w:r>
      <w:r w:rsidR="001750A4">
        <w:t>anels.</w:t>
      </w:r>
    </w:p>
    <w:p w14:paraId="2ED3A39C" w14:textId="3EEACE39" w:rsidR="006272C8" w:rsidRDefault="006272C8" w:rsidP="006272C8">
      <w:pPr>
        <w:pStyle w:val="ListParagraph"/>
        <w:jc w:val="both"/>
      </w:pPr>
      <w:r>
        <w:t xml:space="preserve">Although </w:t>
      </w:r>
      <w:r w:rsidR="000A0155">
        <w:t xml:space="preserve">standing panel and </w:t>
      </w:r>
      <w:r>
        <w:t>r</w:t>
      </w:r>
      <w:r w:rsidR="00C43855">
        <w:t xml:space="preserve">eview </w:t>
      </w:r>
      <w:r>
        <w:t>g</w:t>
      </w:r>
      <w:r w:rsidR="00C43855">
        <w:t>roup</w:t>
      </w:r>
      <w:r w:rsidR="00D1612F">
        <w:t xml:space="preserve"> membership is not required to be drawn from the Scrutiny Committee, the importance of the Chair’</w:t>
      </w:r>
      <w:r>
        <w:t xml:space="preserve">s role as a bridge between the </w:t>
      </w:r>
      <w:r w:rsidR="000A0155">
        <w:t>standing panel/</w:t>
      </w:r>
      <w:r>
        <w:t>r</w:t>
      </w:r>
      <w:r w:rsidR="00D1612F">
        <w:t xml:space="preserve">eview </w:t>
      </w:r>
      <w:r>
        <w:t>g</w:t>
      </w:r>
      <w:r w:rsidR="00D1612F">
        <w:t>roup and t</w:t>
      </w:r>
      <w:r w:rsidR="00C43855">
        <w:t>he Committee means that i</w:t>
      </w:r>
      <w:r w:rsidR="00D1612F">
        <w:t>t</w:t>
      </w:r>
      <w:r w:rsidR="00C43855">
        <w:t xml:space="preserve"> is preferable that they</w:t>
      </w:r>
      <w:r w:rsidR="00D1612F">
        <w:t xml:space="preserve"> be a member of the Scrutiny Committee. </w:t>
      </w:r>
    </w:p>
    <w:p w14:paraId="46477E0F" w14:textId="118ED024" w:rsidR="004A109A" w:rsidRDefault="004A109A" w:rsidP="006272C8">
      <w:pPr>
        <w:pStyle w:val="ListParagraph"/>
        <w:numPr>
          <w:ilvl w:val="0"/>
          <w:numId w:val="0"/>
        </w:numPr>
        <w:ind w:left="426"/>
        <w:jc w:val="both"/>
      </w:pP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14:paraId="73383C9E" w14:textId="77777777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3383C9C" w14:textId="77777777"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383C9D" w14:textId="17D9274B" w:rsidR="00E87F7A" w:rsidRPr="001356F1" w:rsidRDefault="006272C8" w:rsidP="006272C8">
            <w:r>
              <w:t>Alice Courtney</w:t>
            </w:r>
          </w:p>
        </w:tc>
      </w:tr>
      <w:tr w:rsidR="00DF093E" w:rsidRPr="001356F1" w14:paraId="73383CA1" w14:textId="77777777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73383C9F" w14:textId="77777777"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3383CA0" w14:textId="7845FC42" w:rsidR="00E87F7A" w:rsidRPr="001356F1" w:rsidRDefault="006272C8" w:rsidP="00A46E98">
            <w:r>
              <w:t>Committee &amp; Member Services Manager (Interim Acting)</w:t>
            </w:r>
          </w:p>
        </w:tc>
      </w:tr>
      <w:tr w:rsidR="00DF093E" w:rsidRPr="001356F1" w14:paraId="73383CA4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73383CA2" w14:textId="77777777"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3383CA3" w14:textId="26368596" w:rsidR="00E87F7A" w:rsidRPr="001356F1" w:rsidRDefault="00AB7B9F" w:rsidP="00A46E98">
            <w:r>
              <w:t>Law and Governance</w:t>
            </w:r>
          </w:p>
        </w:tc>
      </w:tr>
      <w:tr w:rsidR="00DF093E" w:rsidRPr="001356F1" w14:paraId="73383CA7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73383CA5" w14:textId="77777777"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3383CA6" w14:textId="07B01CE0" w:rsidR="00E87F7A" w:rsidRPr="001356F1" w:rsidRDefault="00E87F7A" w:rsidP="006272C8">
            <w:r w:rsidRPr="001356F1">
              <w:t>01865</w:t>
            </w:r>
            <w:r w:rsidR="00AB7B9F">
              <w:t xml:space="preserve"> </w:t>
            </w:r>
            <w:r w:rsidR="006272C8">
              <w:t>529834</w:t>
            </w:r>
          </w:p>
        </w:tc>
      </w:tr>
      <w:tr w:rsidR="005570B5" w:rsidRPr="001356F1" w14:paraId="73383CAA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3383CA8" w14:textId="77777777"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383CA9" w14:textId="6EBFACD3" w:rsidR="00E87F7A" w:rsidRPr="001356F1" w:rsidRDefault="000F4910" w:rsidP="00A46E98">
            <w:pPr>
              <w:rPr>
                <w:rStyle w:val="Hyperlink"/>
                <w:color w:val="000000"/>
              </w:rPr>
            </w:pPr>
            <w:hyperlink r:id="rId11" w:history="1">
              <w:r w:rsidR="006272C8" w:rsidRPr="00821604">
                <w:rPr>
                  <w:rStyle w:val="Hyperlink"/>
                </w:rPr>
                <w:t>acourtney@oxford.gov.uk</w:t>
              </w:r>
            </w:hyperlink>
            <w:r w:rsidR="006272C8">
              <w:rPr>
                <w:rStyle w:val="Hyperlink"/>
                <w:color w:val="000000"/>
              </w:rPr>
              <w:t xml:space="preserve"> </w:t>
            </w:r>
          </w:p>
        </w:tc>
      </w:tr>
    </w:tbl>
    <w:p w14:paraId="73383CBA" w14:textId="77777777" w:rsidR="00CE4C87" w:rsidRDefault="00CE4C87" w:rsidP="0093067A"/>
    <w:sectPr w:rsidR="00CE4C87" w:rsidSect="00B558E1">
      <w:footerReference w:type="even" r:id="rId12"/>
      <w:headerReference w:type="first" r:id="rId13"/>
      <w:footerReference w:type="first" r:id="rId14"/>
      <w:pgSz w:w="11906" w:h="16838" w:code="9"/>
      <w:pgMar w:top="1304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83CDB" w14:textId="77777777" w:rsidR="00FA026E" w:rsidRDefault="00FA026E" w:rsidP="004A6D2F">
      <w:r>
        <w:separator/>
      </w:r>
    </w:p>
  </w:endnote>
  <w:endnote w:type="continuationSeparator" w:id="0">
    <w:p w14:paraId="73383CDC" w14:textId="77777777" w:rsidR="00FA026E" w:rsidRDefault="00FA026E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83CDD" w14:textId="77777777" w:rsidR="00364FAD" w:rsidRDefault="00364FAD" w:rsidP="004A6D2F">
    <w:pPr>
      <w:pStyle w:val="Footer"/>
    </w:pPr>
    <w:r>
      <w:t>Do not use a footer or page numbers.</w:t>
    </w:r>
  </w:p>
  <w:p w14:paraId="73383CDE" w14:textId="77777777" w:rsidR="00364FAD" w:rsidRDefault="00364FAD" w:rsidP="004A6D2F">
    <w:pPr>
      <w:pStyle w:val="Footer"/>
    </w:pPr>
  </w:p>
  <w:p w14:paraId="73383CDF" w14:textId="77777777"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83CE1" w14:textId="77777777"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83CD9" w14:textId="77777777" w:rsidR="00FA026E" w:rsidRDefault="00FA026E" w:rsidP="004A6D2F">
      <w:r>
        <w:separator/>
      </w:r>
    </w:p>
  </w:footnote>
  <w:footnote w:type="continuationSeparator" w:id="0">
    <w:p w14:paraId="73383CDA" w14:textId="77777777" w:rsidR="00FA026E" w:rsidRDefault="00FA026E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83CE0" w14:textId="77777777" w:rsidR="00D5547E" w:rsidRDefault="00DD2FED" w:rsidP="00D5547E">
    <w:pPr>
      <w:pStyle w:val="Header"/>
      <w:jc w:val="right"/>
    </w:pPr>
    <w:r>
      <w:rPr>
        <w:noProof/>
      </w:rPr>
      <w:drawing>
        <wp:inline distT="0" distB="0" distL="0" distR="0" wp14:anchorId="73383CE2" wp14:editId="73383CE3">
          <wp:extent cx="843280" cy="1117600"/>
          <wp:effectExtent l="0" t="0" r="0" b="6350"/>
          <wp:docPr id="1" name="Picture 1" descr="Oxford City Council Logo" title="Oxford Ci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263A6A"/>
    <w:multiLevelType w:val="multilevel"/>
    <w:tmpl w:val="43D6D2FA"/>
    <w:numStyleLink w:val="StyleBulletedSymbolsymbolLeft063cmHanging063cm"/>
  </w:abstractNum>
  <w:abstractNum w:abstractNumId="18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95C36"/>
    <w:multiLevelType w:val="hybridMultilevel"/>
    <w:tmpl w:val="7FC66446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479A0"/>
    <w:multiLevelType w:val="multilevel"/>
    <w:tmpl w:val="5DFC217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ABA5FD8"/>
    <w:multiLevelType w:val="multilevel"/>
    <w:tmpl w:val="43D6D2FA"/>
    <w:numStyleLink w:val="StyleBulletedSymbolsymbolLeft063cmHanging063cm"/>
  </w:abstractNum>
  <w:abstractNum w:abstractNumId="29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8F7D91"/>
    <w:multiLevelType w:val="multilevel"/>
    <w:tmpl w:val="5DFC217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2A22831"/>
    <w:multiLevelType w:val="multilevel"/>
    <w:tmpl w:val="43D6D2FA"/>
    <w:numStyleLink w:val="StyleBulletedSymbolsymbolLeft063cmHanging063cm"/>
  </w:abstractNum>
  <w:abstractNum w:abstractNumId="32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8A3FEE"/>
    <w:multiLevelType w:val="hybridMultilevel"/>
    <w:tmpl w:val="ACA839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365C6"/>
    <w:multiLevelType w:val="multilevel"/>
    <w:tmpl w:val="E67CE66C"/>
    <w:numStyleLink w:val="StyleNumberedLeft0cmHanging075cm"/>
  </w:abstractNum>
  <w:num w:numId="1">
    <w:abstractNumId w:val="27"/>
  </w:num>
  <w:num w:numId="2">
    <w:abstractNumId w:val="33"/>
  </w:num>
  <w:num w:numId="3">
    <w:abstractNumId w:val="23"/>
  </w:num>
  <w:num w:numId="4">
    <w:abstractNumId w:val="18"/>
  </w:num>
  <w:num w:numId="5">
    <w:abstractNumId w:val="29"/>
  </w:num>
  <w:num w:numId="6">
    <w:abstractNumId w:val="34"/>
  </w:num>
  <w:num w:numId="7">
    <w:abstractNumId w:val="22"/>
  </w:num>
  <w:num w:numId="8">
    <w:abstractNumId w:val="20"/>
  </w:num>
  <w:num w:numId="9">
    <w:abstractNumId w:val="13"/>
  </w:num>
  <w:num w:numId="10">
    <w:abstractNumId w:val="15"/>
  </w:num>
  <w:num w:numId="11">
    <w:abstractNumId w:val="26"/>
  </w:num>
  <w:num w:numId="12">
    <w:abstractNumId w:val="24"/>
  </w:num>
  <w:num w:numId="13">
    <w:abstractNumId w:val="10"/>
  </w:num>
  <w:num w:numId="14">
    <w:abstractNumId w:val="36"/>
    <w:lvlOverride w:ilvl="0">
      <w:lvl w:ilvl="0">
        <w:start w:val="1"/>
        <w:numFmt w:val="decimal"/>
        <w:pStyle w:val="ListParagraph"/>
        <w:lvlText w:val="%1."/>
        <w:lvlJc w:val="left"/>
        <w:pPr>
          <w:ind w:left="360" w:hanging="360"/>
        </w:pPr>
        <w:rPr>
          <w:rFonts w:ascii="Arial" w:hAnsi="Arial"/>
          <w:b w:val="0"/>
          <w:color w:val="000000"/>
          <w:sz w:val="24"/>
        </w:rPr>
      </w:lvl>
    </w:lvlOverride>
  </w:num>
  <w:num w:numId="15">
    <w:abstractNumId w:val="16"/>
  </w:num>
  <w:num w:numId="16">
    <w:abstractNumId w:val="11"/>
  </w:num>
  <w:num w:numId="17">
    <w:abstractNumId w:val="28"/>
  </w:num>
  <w:num w:numId="18">
    <w:abstractNumId w:val="12"/>
  </w:num>
  <w:num w:numId="19">
    <w:abstractNumId w:val="31"/>
  </w:num>
  <w:num w:numId="20">
    <w:abstractNumId w:val="17"/>
  </w:num>
  <w:num w:numId="21">
    <w:abstractNumId w:val="21"/>
  </w:num>
  <w:num w:numId="22">
    <w:abstractNumId w:val="14"/>
  </w:num>
  <w:num w:numId="23">
    <w:abstractNumId w:val="32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5"/>
  </w:num>
  <w:num w:numId="35">
    <w:abstractNumId w:val="19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92"/>
    <w:rsid w:val="000117D4"/>
    <w:rsid w:val="00045F8B"/>
    <w:rsid w:val="00046D2B"/>
    <w:rsid w:val="00056263"/>
    <w:rsid w:val="00064D8A"/>
    <w:rsid w:val="00064F82"/>
    <w:rsid w:val="00066510"/>
    <w:rsid w:val="00077523"/>
    <w:rsid w:val="00086491"/>
    <w:rsid w:val="00096628"/>
    <w:rsid w:val="000A0155"/>
    <w:rsid w:val="000A0A8D"/>
    <w:rsid w:val="000A650A"/>
    <w:rsid w:val="000C089F"/>
    <w:rsid w:val="000C3928"/>
    <w:rsid w:val="000C48FC"/>
    <w:rsid w:val="000C5E8E"/>
    <w:rsid w:val="000D568C"/>
    <w:rsid w:val="000F4751"/>
    <w:rsid w:val="000F4910"/>
    <w:rsid w:val="0010524C"/>
    <w:rsid w:val="00111FB1"/>
    <w:rsid w:val="00113418"/>
    <w:rsid w:val="001356F1"/>
    <w:rsid w:val="00136994"/>
    <w:rsid w:val="0014128E"/>
    <w:rsid w:val="00151888"/>
    <w:rsid w:val="00170A2D"/>
    <w:rsid w:val="001750A4"/>
    <w:rsid w:val="001808BC"/>
    <w:rsid w:val="00182B81"/>
    <w:rsid w:val="0018619D"/>
    <w:rsid w:val="00193098"/>
    <w:rsid w:val="001A011E"/>
    <w:rsid w:val="001A066A"/>
    <w:rsid w:val="001A13E6"/>
    <w:rsid w:val="001A5731"/>
    <w:rsid w:val="001B42C3"/>
    <w:rsid w:val="001C5D5E"/>
    <w:rsid w:val="001D678D"/>
    <w:rsid w:val="001E03F8"/>
    <w:rsid w:val="001E3376"/>
    <w:rsid w:val="002069B3"/>
    <w:rsid w:val="00222597"/>
    <w:rsid w:val="002329CF"/>
    <w:rsid w:val="00232F5B"/>
    <w:rsid w:val="00247C29"/>
    <w:rsid w:val="00250527"/>
    <w:rsid w:val="00260467"/>
    <w:rsid w:val="00263EA3"/>
    <w:rsid w:val="00284F85"/>
    <w:rsid w:val="00290915"/>
    <w:rsid w:val="002A22E2"/>
    <w:rsid w:val="002A5D34"/>
    <w:rsid w:val="002C64F7"/>
    <w:rsid w:val="002F34AE"/>
    <w:rsid w:val="002F41F2"/>
    <w:rsid w:val="002F50AA"/>
    <w:rsid w:val="00301BF3"/>
    <w:rsid w:val="0030208D"/>
    <w:rsid w:val="00323418"/>
    <w:rsid w:val="003357BF"/>
    <w:rsid w:val="00364FAD"/>
    <w:rsid w:val="0036738F"/>
    <w:rsid w:val="0036759C"/>
    <w:rsid w:val="00367AE5"/>
    <w:rsid w:val="00367D71"/>
    <w:rsid w:val="0038150A"/>
    <w:rsid w:val="00384CF9"/>
    <w:rsid w:val="003B6E75"/>
    <w:rsid w:val="003D0379"/>
    <w:rsid w:val="003D2574"/>
    <w:rsid w:val="003D4C59"/>
    <w:rsid w:val="003D5E7F"/>
    <w:rsid w:val="003D6E37"/>
    <w:rsid w:val="003E2F9D"/>
    <w:rsid w:val="003F4267"/>
    <w:rsid w:val="00404032"/>
    <w:rsid w:val="0040736F"/>
    <w:rsid w:val="00412C1F"/>
    <w:rsid w:val="00421CB2"/>
    <w:rsid w:val="004268B9"/>
    <w:rsid w:val="00433B96"/>
    <w:rsid w:val="004440F1"/>
    <w:rsid w:val="004456DD"/>
    <w:rsid w:val="00446CDF"/>
    <w:rsid w:val="004521B7"/>
    <w:rsid w:val="00462AB5"/>
    <w:rsid w:val="00465EAF"/>
    <w:rsid w:val="004738C5"/>
    <w:rsid w:val="00491046"/>
    <w:rsid w:val="00496FAD"/>
    <w:rsid w:val="004A109A"/>
    <w:rsid w:val="004A2AC7"/>
    <w:rsid w:val="004A5337"/>
    <w:rsid w:val="004A6D2F"/>
    <w:rsid w:val="004B348B"/>
    <w:rsid w:val="004C03EC"/>
    <w:rsid w:val="004C2887"/>
    <w:rsid w:val="004D2626"/>
    <w:rsid w:val="004D6E26"/>
    <w:rsid w:val="004D77D3"/>
    <w:rsid w:val="004E2959"/>
    <w:rsid w:val="004F0299"/>
    <w:rsid w:val="004F20EF"/>
    <w:rsid w:val="004F49C8"/>
    <w:rsid w:val="004F6F6E"/>
    <w:rsid w:val="0050321C"/>
    <w:rsid w:val="005205E8"/>
    <w:rsid w:val="00543289"/>
    <w:rsid w:val="0054712D"/>
    <w:rsid w:val="00547EF6"/>
    <w:rsid w:val="005570B5"/>
    <w:rsid w:val="00567E18"/>
    <w:rsid w:val="00575F5F"/>
    <w:rsid w:val="00581805"/>
    <w:rsid w:val="00585F76"/>
    <w:rsid w:val="005A2220"/>
    <w:rsid w:val="005A34E4"/>
    <w:rsid w:val="005B17F2"/>
    <w:rsid w:val="005B7FB0"/>
    <w:rsid w:val="005C0066"/>
    <w:rsid w:val="005C35A5"/>
    <w:rsid w:val="005C577C"/>
    <w:rsid w:val="005C5DD1"/>
    <w:rsid w:val="005D0621"/>
    <w:rsid w:val="005D1E27"/>
    <w:rsid w:val="005E022E"/>
    <w:rsid w:val="005E5215"/>
    <w:rsid w:val="005F2953"/>
    <w:rsid w:val="005F7F7E"/>
    <w:rsid w:val="00605562"/>
    <w:rsid w:val="00614693"/>
    <w:rsid w:val="00623C2F"/>
    <w:rsid w:val="006272C8"/>
    <w:rsid w:val="00632A88"/>
    <w:rsid w:val="00633578"/>
    <w:rsid w:val="00637068"/>
    <w:rsid w:val="00650811"/>
    <w:rsid w:val="00661D3E"/>
    <w:rsid w:val="00692627"/>
    <w:rsid w:val="006969E7"/>
    <w:rsid w:val="006A3643"/>
    <w:rsid w:val="006A407D"/>
    <w:rsid w:val="006C2A29"/>
    <w:rsid w:val="006C64CF"/>
    <w:rsid w:val="006D17B1"/>
    <w:rsid w:val="006D708A"/>
    <w:rsid w:val="006E00EA"/>
    <w:rsid w:val="006E0F08"/>
    <w:rsid w:val="006E14C1"/>
    <w:rsid w:val="006E260E"/>
    <w:rsid w:val="006F0292"/>
    <w:rsid w:val="006F416B"/>
    <w:rsid w:val="006F519B"/>
    <w:rsid w:val="00713675"/>
    <w:rsid w:val="00715823"/>
    <w:rsid w:val="00737B93"/>
    <w:rsid w:val="00745BF0"/>
    <w:rsid w:val="00756E1C"/>
    <w:rsid w:val="007615FE"/>
    <w:rsid w:val="0076655C"/>
    <w:rsid w:val="007742DC"/>
    <w:rsid w:val="00791437"/>
    <w:rsid w:val="007B0C2C"/>
    <w:rsid w:val="007B278E"/>
    <w:rsid w:val="007C1201"/>
    <w:rsid w:val="007C5C23"/>
    <w:rsid w:val="007D7360"/>
    <w:rsid w:val="007E2A26"/>
    <w:rsid w:val="007F2348"/>
    <w:rsid w:val="00803F07"/>
    <w:rsid w:val="0080749A"/>
    <w:rsid w:val="00821969"/>
    <w:rsid w:val="00821AAF"/>
    <w:rsid w:val="00821FB8"/>
    <w:rsid w:val="00822ACD"/>
    <w:rsid w:val="008271BD"/>
    <w:rsid w:val="00855C66"/>
    <w:rsid w:val="008650BE"/>
    <w:rsid w:val="00871EE4"/>
    <w:rsid w:val="008B293F"/>
    <w:rsid w:val="008B7371"/>
    <w:rsid w:val="008D3DDB"/>
    <w:rsid w:val="008F403B"/>
    <w:rsid w:val="008F573F"/>
    <w:rsid w:val="009034EC"/>
    <w:rsid w:val="0093067A"/>
    <w:rsid w:val="00941C60"/>
    <w:rsid w:val="00966D42"/>
    <w:rsid w:val="009713E8"/>
    <w:rsid w:val="00971689"/>
    <w:rsid w:val="00973E90"/>
    <w:rsid w:val="00975B07"/>
    <w:rsid w:val="00980B4A"/>
    <w:rsid w:val="009844F2"/>
    <w:rsid w:val="009C203B"/>
    <w:rsid w:val="009E0595"/>
    <w:rsid w:val="009E3D0A"/>
    <w:rsid w:val="009E51FC"/>
    <w:rsid w:val="009F1D28"/>
    <w:rsid w:val="009F7618"/>
    <w:rsid w:val="00A04D23"/>
    <w:rsid w:val="00A06766"/>
    <w:rsid w:val="00A13765"/>
    <w:rsid w:val="00A21B12"/>
    <w:rsid w:val="00A23F80"/>
    <w:rsid w:val="00A37CCE"/>
    <w:rsid w:val="00A44635"/>
    <w:rsid w:val="00A46E98"/>
    <w:rsid w:val="00A6352B"/>
    <w:rsid w:val="00A701B5"/>
    <w:rsid w:val="00A714BB"/>
    <w:rsid w:val="00A82696"/>
    <w:rsid w:val="00A92D8F"/>
    <w:rsid w:val="00AB2988"/>
    <w:rsid w:val="00AB7999"/>
    <w:rsid w:val="00AB7B9F"/>
    <w:rsid w:val="00AD3292"/>
    <w:rsid w:val="00AD3A5D"/>
    <w:rsid w:val="00AE7AF0"/>
    <w:rsid w:val="00B500CA"/>
    <w:rsid w:val="00B558E1"/>
    <w:rsid w:val="00B7799F"/>
    <w:rsid w:val="00B81175"/>
    <w:rsid w:val="00B86314"/>
    <w:rsid w:val="00BA1C2E"/>
    <w:rsid w:val="00BC200B"/>
    <w:rsid w:val="00BC4756"/>
    <w:rsid w:val="00BC4FED"/>
    <w:rsid w:val="00BC69A4"/>
    <w:rsid w:val="00BD7C36"/>
    <w:rsid w:val="00BE0680"/>
    <w:rsid w:val="00BE305F"/>
    <w:rsid w:val="00BE7BA3"/>
    <w:rsid w:val="00BF5682"/>
    <w:rsid w:val="00BF7B09"/>
    <w:rsid w:val="00C20A95"/>
    <w:rsid w:val="00C2692F"/>
    <w:rsid w:val="00C3207C"/>
    <w:rsid w:val="00C400E1"/>
    <w:rsid w:val="00C41187"/>
    <w:rsid w:val="00C43855"/>
    <w:rsid w:val="00C63C31"/>
    <w:rsid w:val="00C757A0"/>
    <w:rsid w:val="00C760DE"/>
    <w:rsid w:val="00C82630"/>
    <w:rsid w:val="00C85B4E"/>
    <w:rsid w:val="00C907F7"/>
    <w:rsid w:val="00CA2103"/>
    <w:rsid w:val="00CB6B99"/>
    <w:rsid w:val="00CE4C87"/>
    <w:rsid w:val="00CE544A"/>
    <w:rsid w:val="00D03CE4"/>
    <w:rsid w:val="00D11E1C"/>
    <w:rsid w:val="00D160B0"/>
    <w:rsid w:val="00D1612F"/>
    <w:rsid w:val="00D174FD"/>
    <w:rsid w:val="00D17F94"/>
    <w:rsid w:val="00D223FC"/>
    <w:rsid w:val="00D26D1E"/>
    <w:rsid w:val="00D474CF"/>
    <w:rsid w:val="00D53EEA"/>
    <w:rsid w:val="00D5547E"/>
    <w:rsid w:val="00D61EBC"/>
    <w:rsid w:val="00D6683E"/>
    <w:rsid w:val="00D90A28"/>
    <w:rsid w:val="00DA413F"/>
    <w:rsid w:val="00DA4584"/>
    <w:rsid w:val="00DA614B"/>
    <w:rsid w:val="00DC3060"/>
    <w:rsid w:val="00DD2FED"/>
    <w:rsid w:val="00DE0FB2"/>
    <w:rsid w:val="00DF093E"/>
    <w:rsid w:val="00E01F42"/>
    <w:rsid w:val="00E076F4"/>
    <w:rsid w:val="00E10C81"/>
    <w:rsid w:val="00E206D6"/>
    <w:rsid w:val="00E21E49"/>
    <w:rsid w:val="00E27563"/>
    <w:rsid w:val="00E3366E"/>
    <w:rsid w:val="00E52086"/>
    <w:rsid w:val="00E543A6"/>
    <w:rsid w:val="00E60479"/>
    <w:rsid w:val="00E61D73"/>
    <w:rsid w:val="00E73684"/>
    <w:rsid w:val="00E818D6"/>
    <w:rsid w:val="00E87F7A"/>
    <w:rsid w:val="00E96BD7"/>
    <w:rsid w:val="00EA0DB1"/>
    <w:rsid w:val="00EA0EE9"/>
    <w:rsid w:val="00EC7B30"/>
    <w:rsid w:val="00ED52CA"/>
    <w:rsid w:val="00ED5860"/>
    <w:rsid w:val="00EE35C9"/>
    <w:rsid w:val="00EF1D9F"/>
    <w:rsid w:val="00EF7EA1"/>
    <w:rsid w:val="00F05ECA"/>
    <w:rsid w:val="00F3566E"/>
    <w:rsid w:val="00F375FB"/>
    <w:rsid w:val="00F41AC1"/>
    <w:rsid w:val="00F4367A"/>
    <w:rsid w:val="00F445B1"/>
    <w:rsid w:val="00F45CD4"/>
    <w:rsid w:val="00F66DCA"/>
    <w:rsid w:val="00F74F53"/>
    <w:rsid w:val="00F7606D"/>
    <w:rsid w:val="00F81670"/>
    <w:rsid w:val="00F82024"/>
    <w:rsid w:val="00F913EC"/>
    <w:rsid w:val="00F92ABF"/>
    <w:rsid w:val="00F95BC9"/>
    <w:rsid w:val="00F97015"/>
    <w:rsid w:val="00FA026E"/>
    <w:rsid w:val="00FA624C"/>
    <w:rsid w:val="00FD0FAC"/>
    <w:rsid w:val="00FD1890"/>
    <w:rsid w:val="00FD1DFA"/>
    <w:rsid w:val="00FD4966"/>
    <w:rsid w:val="00FE268F"/>
    <w:rsid w:val="00FE57DC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73383C40"/>
  <w15:docId w15:val="{ED054E68-15BA-43A7-ADCB-4B0C4E0D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E10C81"/>
    <w:pPr>
      <w:spacing w:before="120" w:line="360" w:lineRule="auto"/>
    </w:pPr>
    <w:rPr>
      <w:color w:val="auto"/>
      <w:lang w:eastAsia="en-US"/>
    </w:rPr>
  </w:style>
  <w:style w:type="character" w:customStyle="1" w:styleId="Style1Char">
    <w:name w:val="Style1 Char"/>
    <w:link w:val="Style1"/>
    <w:rsid w:val="00E10C81"/>
    <w:rPr>
      <w:sz w:val="24"/>
      <w:szCs w:val="24"/>
      <w:lang w:eastAsia="en-US"/>
    </w:rPr>
  </w:style>
  <w:style w:type="paragraph" w:customStyle="1" w:styleId="Default">
    <w:name w:val="Default"/>
    <w:rsid w:val="004F029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C4F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ourtney@oxford.gov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7BD3E2B40EE4B99233DA35941ABA9" ma:contentTypeVersion="2" ma:contentTypeDescription="Create a new document." ma:contentTypeScope="" ma:versionID="895af6ef96fcc1cbabbdf95133144ad3">
  <xsd:schema xmlns:xsd="http://www.w3.org/2001/XMLSchema" xmlns:xs="http://www.w3.org/2001/XMLSchema" xmlns:p="http://schemas.microsoft.com/office/2006/metadata/properties" xmlns:ns2="fdb8f1d2-729e-4e17-b922-d1876d49c6d9" targetNamespace="http://schemas.microsoft.com/office/2006/metadata/properties" ma:root="true" ma:fieldsID="0fdd767a2e81157f99857a0e1af04e18" ns2:_="">
    <xsd:import namespace="fdb8f1d2-729e-4e17-b922-d1876d49c6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8f1d2-729e-4e17-b922-d1876d49c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D755B-781C-49F0-925A-074BA5E55CF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db8f1d2-729e-4e17-b922-d1876d49c6d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67E460-EE8C-47E7-942A-D767823043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A8C5F3-9895-493B-BD33-3D953D61C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8f1d2-729e-4e17-b922-d1876d49c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B3964B-B9BD-48CB-962C-6733A135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AEB372C6</Template>
  <TotalTime>57</TotalTime>
  <Pages>3</Pages>
  <Words>1007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COURTNEY Alice</cp:lastModifiedBy>
  <cp:revision>6</cp:revision>
  <cp:lastPrinted>2015-07-03T12:50:00Z</cp:lastPrinted>
  <dcterms:created xsi:type="dcterms:W3CDTF">2022-06-22T12:53:00Z</dcterms:created>
  <dcterms:modified xsi:type="dcterms:W3CDTF">2022-06-23T14:33:00Z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0x01010045D7BD3E2B40EE4B99233DA35941ABA9</vt:lpwstr>
  </property>
</Properties>
</file>